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3BD1" w14:textId="7DC10598" w:rsidR="009F0F6D" w:rsidRDefault="009F0F6D" w:rsidP="009F0F6D">
      <w:pPr>
        <w:widowControl w:val="0"/>
        <w:tabs>
          <w:tab w:val="left" w:pos="920"/>
        </w:tabs>
        <w:autoSpaceDE w:val="0"/>
        <w:autoSpaceDN w:val="0"/>
        <w:spacing w:before="85" w:after="0" w:line="240" w:lineRule="auto"/>
        <w:ind w:left="993" w:right="1144"/>
      </w:pPr>
      <w:r w:rsidRPr="009F0F6D">
        <w:t>The Program will enable superior levels of command and control through improved battlespace situation awareness; relevant and timely intelligence and information products; innovative Electromagnetic Spectrum (EMS) tools which encompasses Electronic Warfare (EW) capabilities; and communication and information management systems.</w:t>
      </w:r>
    </w:p>
    <w:p w14:paraId="684318B7" w14:textId="77777777" w:rsidR="009F0F6D" w:rsidRDefault="009F0F6D" w:rsidP="00D67174">
      <w:pPr>
        <w:widowControl w:val="0"/>
        <w:tabs>
          <w:tab w:val="left" w:pos="1631"/>
          <w:tab w:val="left" w:pos="1632"/>
        </w:tabs>
        <w:autoSpaceDE w:val="0"/>
        <w:autoSpaceDN w:val="0"/>
        <w:spacing w:before="85" w:after="0" w:line="240" w:lineRule="auto"/>
        <w:ind w:left="1631" w:right="1144" w:hanging="711"/>
      </w:pPr>
    </w:p>
    <w:p w14:paraId="212179D0" w14:textId="5BD10A18" w:rsidR="00D67174" w:rsidRPr="00D67174" w:rsidRDefault="00D67174" w:rsidP="00D67174">
      <w:pPr>
        <w:widowControl w:val="0"/>
        <w:numPr>
          <w:ilvl w:val="2"/>
          <w:numId w:val="1"/>
        </w:numPr>
        <w:tabs>
          <w:tab w:val="left" w:pos="1631"/>
          <w:tab w:val="left" w:pos="1632"/>
        </w:tabs>
        <w:autoSpaceDE w:val="0"/>
        <w:autoSpaceDN w:val="0"/>
        <w:spacing w:before="85" w:after="0" w:line="240" w:lineRule="auto"/>
        <w:ind w:right="1144"/>
        <w:rPr>
          <w:rFonts w:ascii="Arial" w:eastAsia="Arial" w:hAnsi="Arial" w:cs="Arial"/>
          <w:sz w:val="20"/>
          <w:lang w:eastAsia="en-AU" w:bidi="en-AU"/>
        </w:rPr>
      </w:pPr>
      <w:r w:rsidRPr="00D67174">
        <w:rPr>
          <w:rFonts w:ascii="Arial" w:eastAsia="Arial" w:hAnsi="Arial" w:cs="Arial"/>
          <w:sz w:val="20"/>
          <w:lang w:eastAsia="en-AU" w:bidi="en-AU"/>
        </w:rPr>
        <w:t>Sense – Measures the EMS, which is required to manage, navigate, shape and manipulate the EMS. In the Program construct, the sense function represents not only the core (EMS) measurement function but also the fusion of data across an integrated sensor network</w:t>
      </w:r>
      <w:r w:rsidRPr="00D67174">
        <w:rPr>
          <w:rFonts w:ascii="Arial" w:eastAsia="Arial" w:hAnsi="Arial" w:cs="Arial"/>
          <w:spacing w:val="-27"/>
          <w:sz w:val="20"/>
          <w:lang w:eastAsia="en-AU" w:bidi="en-AU"/>
        </w:rPr>
        <w:t xml:space="preserve"> </w:t>
      </w:r>
      <w:r w:rsidRPr="00D67174">
        <w:rPr>
          <w:rFonts w:ascii="Arial" w:eastAsia="Arial" w:hAnsi="Arial" w:cs="Arial"/>
          <w:sz w:val="20"/>
          <w:lang w:eastAsia="en-AU" w:bidi="en-AU"/>
        </w:rPr>
        <w:t>(being platform, task group, joint</w:t>
      </w:r>
      <w:r w:rsidRPr="00D67174">
        <w:rPr>
          <w:rFonts w:ascii="Arial" w:eastAsia="Arial" w:hAnsi="Arial" w:cs="Arial"/>
          <w:spacing w:val="-1"/>
          <w:sz w:val="20"/>
          <w:lang w:eastAsia="en-AU" w:bidi="en-AU"/>
        </w:rPr>
        <w:t xml:space="preserve"> </w:t>
      </w:r>
      <w:r w:rsidRPr="00D67174">
        <w:rPr>
          <w:rFonts w:ascii="Arial" w:eastAsia="Arial" w:hAnsi="Arial" w:cs="Arial"/>
          <w:sz w:val="20"/>
          <w:lang w:eastAsia="en-AU" w:bidi="en-AU"/>
        </w:rPr>
        <w:t>force).</w:t>
      </w:r>
    </w:p>
    <w:p w14:paraId="1C4AD744" w14:textId="77777777" w:rsidR="00D67174" w:rsidRPr="00D67174" w:rsidRDefault="00D67174" w:rsidP="00D67174">
      <w:pPr>
        <w:widowControl w:val="0"/>
        <w:autoSpaceDE w:val="0"/>
        <w:autoSpaceDN w:val="0"/>
        <w:spacing w:after="0" w:line="240" w:lineRule="auto"/>
        <w:rPr>
          <w:rFonts w:ascii="Arial" w:eastAsia="Arial" w:hAnsi="Arial" w:cs="Arial"/>
          <w:sz w:val="21"/>
          <w:szCs w:val="20"/>
          <w:lang w:eastAsia="en-AU" w:bidi="en-AU"/>
        </w:rPr>
      </w:pPr>
    </w:p>
    <w:p w14:paraId="7E3106BE" w14:textId="77777777" w:rsidR="00D67174" w:rsidRPr="00D67174" w:rsidRDefault="00D67174" w:rsidP="00D67174">
      <w:pPr>
        <w:widowControl w:val="0"/>
        <w:numPr>
          <w:ilvl w:val="2"/>
          <w:numId w:val="1"/>
        </w:numPr>
        <w:tabs>
          <w:tab w:val="left" w:pos="1631"/>
          <w:tab w:val="left" w:pos="1632"/>
        </w:tabs>
        <w:autoSpaceDE w:val="0"/>
        <w:autoSpaceDN w:val="0"/>
        <w:spacing w:after="0" w:line="240" w:lineRule="auto"/>
        <w:ind w:right="1413"/>
        <w:rPr>
          <w:rFonts w:ascii="Arial" w:eastAsia="Arial" w:hAnsi="Arial" w:cs="Arial"/>
          <w:sz w:val="20"/>
          <w:lang w:eastAsia="en-AU" w:bidi="en-AU"/>
        </w:rPr>
      </w:pPr>
      <w:r w:rsidRPr="00D67174">
        <w:rPr>
          <w:rFonts w:ascii="Arial" w:eastAsia="Arial" w:hAnsi="Arial" w:cs="Arial"/>
          <w:sz w:val="20"/>
          <w:lang w:eastAsia="en-AU" w:bidi="en-AU"/>
        </w:rPr>
        <w:t>Analyse – Takes the output from the Sense function and integrates it with additional information (</w:t>
      </w:r>
      <w:proofErr w:type="spellStart"/>
      <w:r w:rsidRPr="00D67174">
        <w:rPr>
          <w:rFonts w:ascii="Arial" w:eastAsia="Arial" w:hAnsi="Arial" w:cs="Arial"/>
          <w:sz w:val="20"/>
          <w:lang w:eastAsia="en-AU" w:bidi="en-AU"/>
        </w:rPr>
        <w:t>i.e</w:t>
      </w:r>
      <w:proofErr w:type="spellEnd"/>
      <w:r w:rsidRPr="00D67174">
        <w:rPr>
          <w:rFonts w:ascii="Arial" w:eastAsia="Arial" w:hAnsi="Arial" w:cs="Arial"/>
          <w:sz w:val="20"/>
          <w:lang w:eastAsia="en-AU" w:bidi="en-AU"/>
        </w:rPr>
        <w:t>, Radar tracks, geographical location, etc) and provides an integrated situation awareness picture (with a strong EMS bias). Under the Program it is anticipated that this function is almost entirely automated. This function includes pre and post mission data analysis activity.</w:t>
      </w:r>
    </w:p>
    <w:p w14:paraId="39DCAC52" w14:textId="77777777" w:rsidR="00D67174" w:rsidRPr="00D67174" w:rsidRDefault="00D67174" w:rsidP="00D67174">
      <w:pPr>
        <w:widowControl w:val="0"/>
        <w:autoSpaceDE w:val="0"/>
        <w:autoSpaceDN w:val="0"/>
        <w:spacing w:before="10" w:after="0" w:line="240" w:lineRule="auto"/>
        <w:rPr>
          <w:rFonts w:ascii="Arial" w:eastAsia="Arial" w:hAnsi="Arial" w:cs="Arial"/>
          <w:sz w:val="20"/>
          <w:szCs w:val="20"/>
          <w:lang w:eastAsia="en-AU" w:bidi="en-AU"/>
        </w:rPr>
      </w:pPr>
    </w:p>
    <w:p w14:paraId="61CBA505" w14:textId="77777777" w:rsidR="00D67174" w:rsidRPr="00D67174" w:rsidRDefault="00D67174" w:rsidP="00D67174">
      <w:pPr>
        <w:widowControl w:val="0"/>
        <w:numPr>
          <w:ilvl w:val="2"/>
          <w:numId w:val="1"/>
        </w:numPr>
        <w:tabs>
          <w:tab w:val="left" w:pos="1631"/>
          <w:tab w:val="left" w:pos="1632"/>
        </w:tabs>
        <w:autoSpaceDE w:val="0"/>
        <w:autoSpaceDN w:val="0"/>
        <w:spacing w:after="0" w:line="240" w:lineRule="auto"/>
        <w:ind w:right="1236"/>
        <w:rPr>
          <w:rFonts w:ascii="Arial" w:eastAsia="Arial" w:hAnsi="Arial" w:cs="Arial"/>
          <w:sz w:val="20"/>
          <w:lang w:eastAsia="en-AU" w:bidi="en-AU"/>
        </w:rPr>
      </w:pPr>
      <w:r w:rsidRPr="00D67174">
        <w:rPr>
          <w:rFonts w:ascii="Arial" w:eastAsia="Arial" w:hAnsi="Arial" w:cs="Arial"/>
          <w:sz w:val="20"/>
          <w:lang w:eastAsia="en-AU" w:bidi="en-AU"/>
        </w:rPr>
        <w:t>Effect – Represents the ‘active’ electronic attack capability that the Program ultimately delivers. Under this model the effect function includes all actions that the entity may perform in order to manage and/or manipulate the Electromagnetic Environment. This includes the switching off or re-configuration of systems, active management of signatures (both active and passive), passive countermeasures (flares and chaff) and active emissions and/or electronic</w:t>
      </w:r>
      <w:r w:rsidRPr="00D67174">
        <w:rPr>
          <w:rFonts w:ascii="Arial" w:eastAsia="Arial" w:hAnsi="Arial" w:cs="Arial"/>
          <w:spacing w:val="-1"/>
          <w:sz w:val="20"/>
          <w:lang w:eastAsia="en-AU" w:bidi="en-AU"/>
        </w:rPr>
        <w:t xml:space="preserve"> </w:t>
      </w:r>
      <w:r w:rsidRPr="00D67174">
        <w:rPr>
          <w:rFonts w:ascii="Arial" w:eastAsia="Arial" w:hAnsi="Arial" w:cs="Arial"/>
          <w:sz w:val="20"/>
          <w:lang w:eastAsia="en-AU" w:bidi="en-AU"/>
        </w:rPr>
        <w:t>attack.</w:t>
      </w:r>
    </w:p>
    <w:p w14:paraId="5C86ABD9" w14:textId="77777777" w:rsidR="00D67174" w:rsidRPr="00D67174" w:rsidRDefault="00D67174" w:rsidP="00D67174">
      <w:pPr>
        <w:widowControl w:val="0"/>
        <w:autoSpaceDE w:val="0"/>
        <w:autoSpaceDN w:val="0"/>
        <w:spacing w:before="11" w:after="0" w:line="240" w:lineRule="auto"/>
        <w:rPr>
          <w:rFonts w:ascii="Arial" w:eastAsia="Arial" w:hAnsi="Arial" w:cs="Arial"/>
          <w:sz w:val="20"/>
          <w:szCs w:val="20"/>
          <w:lang w:eastAsia="en-AU" w:bidi="en-AU"/>
        </w:rPr>
      </w:pPr>
    </w:p>
    <w:p w14:paraId="357B876A" w14:textId="23879D55" w:rsidR="00D67174" w:rsidRDefault="00D67174" w:rsidP="00D67174">
      <w:pPr>
        <w:widowControl w:val="0"/>
        <w:numPr>
          <w:ilvl w:val="2"/>
          <w:numId w:val="1"/>
        </w:numPr>
        <w:tabs>
          <w:tab w:val="left" w:pos="1631"/>
          <w:tab w:val="left" w:pos="1632"/>
        </w:tabs>
        <w:autoSpaceDE w:val="0"/>
        <w:autoSpaceDN w:val="0"/>
        <w:spacing w:after="0" w:line="240" w:lineRule="auto"/>
        <w:ind w:right="1171"/>
        <w:rPr>
          <w:rFonts w:ascii="Arial" w:eastAsia="Arial" w:hAnsi="Arial" w:cs="Arial"/>
          <w:sz w:val="20"/>
          <w:lang w:eastAsia="en-AU" w:bidi="en-AU"/>
        </w:rPr>
      </w:pPr>
      <w:r w:rsidRPr="00D67174">
        <w:rPr>
          <w:rFonts w:ascii="Arial" w:eastAsia="Arial" w:hAnsi="Arial" w:cs="Arial"/>
          <w:sz w:val="20"/>
          <w:lang w:eastAsia="en-AU" w:bidi="en-AU"/>
        </w:rPr>
        <w:t>Command / Control and Co-ordinate – Underpins the timely delivery of capability effect in a co-ordinated and controlled manner. Activities performed by this function include EMS battle management, situation understanding and co-ordination of passive and active effects. These activities are scalable across the platform, task group and joint force</w:t>
      </w:r>
      <w:r w:rsidRPr="00D67174">
        <w:rPr>
          <w:rFonts w:ascii="Arial" w:eastAsia="Arial" w:hAnsi="Arial" w:cs="Arial"/>
          <w:spacing w:val="-11"/>
          <w:sz w:val="20"/>
          <w:lang w:eastAsia="en-AU" w:bidi="en-AU"/>
        </w:rPr>
        <w:t xml:space="preserve"> </w:t>
      </w:r>
      <w:r w:rsidRPr="00D67174">
        <w:rPr>
          <w:rFonts w:ascii="Arial" w:eastAsia="Arial" w:hAnsi="Arial" w:cs="Arial"/>
          <w:sz w:val="20"/>
          <w:lang w:eastAsia="en-AU" w:bidi="en-AU"/>
        </w:rPr>
        <w:t>operations.</w:t>
      </w:r>
    </w:p>
    <w:p w14:paraId="64ED809A" w14:textId="77777777" w:rsidR="00B50A22" w:rsidRDefault="00B50A22" w:rsidP="00B50A22">
      <w:pPr>
        <w:pStyle w:val="ListParagraph"/>
        <w:rPr>
          <w:sz w:val="20"/>
        </w:rPr>
      </w:pPr>
    </w:p>
    <w:p w14:paraId="24AB912F" w14:textId="712F8B07" w:rsidR="00B50A22" w:rsidRDefault="00B50A22" w:rsidP="00B50A22">
      <w:pPr>
        <w:widowControl w:val="0"/>
        <w:tabs>
          <w:tab w:val="left" w:pos="1631"/>
          <w:tab w:val="left" w:pos="1632"/>
        </w:tabs>
        <w:autoSpaceDE w:val="0"/>
        <w:autoSpaceDN w:val="0"/>
        <w:spacing w:after="0" w:line="240" w:lineRule="auto"/>
        <w:ind w:right="1171"/>
        <w:rPr>
          <w:rFonts w:ascii="Arial" w:eastAsia="Arial" w:hAnsi="Arial" w:cs="Arial"/>
          <w:sz w:val="20"/>
          <w:lang w:eastAsia="en-AU" w:bidi="en-AU"/>
        </w:rPr>
      </w:pPr>
    </w:p>
    <w:p w14:paraId="47F58C58" w14:textId="77777777" w:rsidR="00B50A22" w:rsidRPr="00D67174" w:rsidRDefault="00B50A22" w:rsidP="00B50A22">
      <w:pPr>
        <w:widowControl w:val="0"/>
        <w:tabs>
          <w:tab w:val="left" w:pos="1631"/>
          <w:tab w:val="left" w:pos="1632"/>
        </w:tabs>
        <w:autoSpaceDE w:val="0"/>
        <w:autoSpaceDN w:val="0"/>
        <w:spacing w:after="0" w:line="240" w:lineRule="auto"/>
        <w:ind w:right="1171"/>
        <w:rPr>
          <w:rFonts w:ascii="Arial" w:eastAsia="Arial" w:hAnsi="Arial" w:cs="Arial"/>
          <w:sz w:val="20"/>
          <w:lang w:eastAsia="en-AU" w:bidi="en-AU"/>
        </w:rPr>
      </w:pPr>
    </w:p>
    <w:p w14:paraId="38460F58" w14:textId="77777777" w:rsidR="00DE16F2" w:rsidRDefault="00DE16F2" w:rsidP="00DE16F2">
      <w:pPr>
        <w:pStyle w:val="ListParagraph"/>
        <w:numPr>
          <w:ilvl w:val="1"/>
          <w:numId w:val="1"/>
        </w:numPr>
        <w:tabs>
          <w:tab w:val="left" w:pos="921"/>
          <w:tab w:val="left" w:pos="922"/>
        </w:tabs>
        <w:ind w:hanging="710"/>
        <w:rPr>
          <w:sz w:val="20"/>
        </w:rPr>
      </w:pPr>
      <w:r>
        <w:rPr>
          <w:sz w:val="20"/>
        </w:rPr>
        <w:t>To support delivery of the Program the following key elements have been</w:t>
      </w:r>
      <w:r>
        <w:rPr>
          <w:spacing w:val="-5"/>
          <w:sz w:val="20"/>
        </w:rPr>
        <w:t xml:space="preserve"> </w:t>
      </w:r>
      <w:r>
        <w:rPr>
          <w:sz w:val="20"/>
        </w:rPr>
        <w:t>identified:</w:t>
      </w:r>
    </w:p>
    <w:p w14:paraId="72C780DA" w14:textId="77777777" w:rsidR="00DE16F2" w:rsidRDefault="00DE16F2" w:rsidP="00DE16F2">
      <w:pPr>
        <w:pStyle w:val="BodyText"/>
        <w:spacing w:before="8"/>
      </w:pPr>
    </w:p>
    <w:p w14:paraId="6AA71BE3" w14:textId="53DE7DB3" w:rsidR="00DE16F2" w:rsidRDefault="00DE16F2" w:rsidP="00DE16F2">
      <w:pPr>
        <w:pStyle w:val="ListParagraph"/>
        <w:numPr>
          <w:ilvl w:val="2"/>
          <w:numId w:val="1"/>
        </w:numPr>
        <w:tabs>
          <w:tab w:val="left" w:pos="1631"/>
          <w:tab w:val="left" w:pos="1632"/>
        </w:tabs>
        <w:ind w:right="1607"/>
        <w:rPr>
          <w:sz w:val="20"/>
        </w:rPr>
      </w:pPr>
      <w:r>
        <w:rPr>
          <w:sz w:val="20"/>
        </w:rPr>
        <w:t>Focus on capabilities</w:t>
      </w:r>
      <w:r>
        <w:rPr>
          <w:spacing w:val="-13"/>
          <w:sz w:val="20"/>
        </w:rPr>
        <w:t xml:space="preserve"> </w:t>
      </w:r>
      <w:r>
        <w:rPr>
          <w:sz w:val="20"/>
        </w:rPr>
        <w:t>in:</w:t>
      </w:r>
    </w:p>
    <w:p w14:paraId="27E5B480" w14:textId="77777777" w:rsidR="00DE16F2" w:rsidRDefault="00DE16F2" w:rsidP="00DE16F2">
      <w:pPr>
        <w:pStyle w:val="BodyText"/>
        <w:rPr>
          <w:sz w:val="21"/>
        </w:rPr>
      </w:pPr>
    </w:p>
    <w:p w14:paraId="324A4E98" w14:textId="54C0A0CF" w:rsidR="00DE16F2" w:rsidRDefault="00DE16F2" w:rsidP="00DE16F2">
      <w:pPr>
        <w:pStyle w:val="ListParagraph"/>
        <w:numPr>
          <w:ilvl w:val="3"/>
          <w:numId w:val="1"/>
        </w:numPr>
        <w:tabs>
          <w:tab w:val="left" w:pos="2339"/>
          <w:tab w:val="left" w:pos="2340"/>
        </w:tabs>
        <w:ind w:right="2051"/>
        <w:rPr>
          <w:sz w:val="20"/>
        </w:rPr>
      </w:pPr>
      <w:r>
        <w:rPr>
          <w:spacing w:val="-3"/>
          <w:sz w:val="20"/>
        </w:rPr>
        <w:t>E</w:t>
      </w:r>
      <w:r>
        <w:rPr>
          <w:sz w:val="20"/>
        </w:rPr>
        <w:t>nabling technologies (antenna, signal processing, high power amplifiers, integrated circuits,</w:t>
      </w:r>
      <w:r>
        <w:rPr>
          <w:spacing w:val="-4"/>
          <w:sz w:val="20"/>
        </w:rPr>
        <w:t xml:space="preserve"> </w:t>
      </w:r>
      <w:r>
        <w:rPr>
          <w:sz w:val="20"/>
        </w:rPr>
        <w:t>etc)</w:t>
      </w:r>
    </w:p>
    <w:p w14:paraId="67B5EA9E" w14:textId="77777777" w:rsidR="00DE16F2" w:rsidRDefault="00DE16F2" w:rsidP="00DE16F2">
      <w:pPr>
        <w:pStyle w:val="BodyText"/>
        <w:spacing w:before="8"/>
      </w:pPr>
    </w:p>
    <w:p w14:paraId="48F6A197" w14:textId="77777777" w:rsidR="00DE16F2" w:rsidRDefault="00DE16F2" w:rsidP="00DE16F2">
      <w:pPr>
        <w:pStyle w:val="ListParagraph"/>
        <w:numPr>
          <w:ilvl w:val="3"/>
          <w:numId w:val="1"/>
        </w:numPr>
        <w:tabs>
          <w:tab w:val="left" w:pos="2339"/>
          <w:tab w:val="left" w:pos="2340"/>
        </w:tabs>
        <w:spacing w:before="1"/>
        <w:ind w:hanging="709"/>
        <w:rPr>
          <w:sz w:val="20"/>
        </w:rPr>
      </w:pPr>
      <w:r>
        <w:rPr>
          <w:sz w:val="20"/>
        </w:rPr>
        <w:t>Enabling passive decoy and signature management</w:t>
      </w:r>
      <w:r>
        <w:rPr>
          <w:spacing w:val="-3"/>
          <w:sz w:val="20"/>
        </w:rPr>
        <w:t xml:space="preserve"> </w:t>
      </w:r>
      <w:r>
        <w:rPr>
          <w:sz w:val="20"/>
        </w:rPr>
        <w:t>systems,</w:t>
      </w:r>
    </w:p>
    <w:p w14:paraId="075E63B2" w14:textId="77777777" w:rsidR="00DE16F2" w:rsidRDefault="00DE16F2" w:rsidP="00DE16F2">
      <w:pPr>
        <w:pStyle w:val="BodyText"/>
        <w:spacing w:before="11"/>
      </w:pPr>
    </w:p>
    <w:p w14:paraId="4B234F6C" w14:textId="46897C6D" w:rsidR="00DE16F2" w:rsidRDefault="00DE16F2" w:rsidP="00DE16F2">
      <w:pPr>
        <w:pStyle w:val="ListParagraph"/>
        <w:numPr>
          <w:ilvl w:val="3"/>
          <w:numId w:val="1"/>
        </w:numPr>
        <w:tabs>
          <w:tab w:val="left" w:pos="2339"/>
          <w:tab w:val="left" w:pos="2340"/>
        </w:tabs>
        <w:ind w:right="1501"/>
        <w:rPr>
          <w:sz w:val="20"/>
        </w:rPr>
      </w:pPr>
      <w:r>
        <w:rPr>
          <w:sz w:val="20"/>
        </w:rPr>
        <w:t>EO/IR/UV systems to counter EMS in visible, IR or near UV</w:t>
      </w:r>
      <w:r>
        <w:rPr>
          <w:spacing w:val="-3"/>
          <w:sz w:val="20"/>
        </w:rPr>
        <w:t xml:space="preserve"> </w:t>
      </w:r>
      <w:r>
        <w:rPr>
          <w:sz w:val="20"/>
        </w:rPr>
        <w:t>ranges.</w:t>
      </w:r>
    </w:p>
    <w:p w14:paraId="24AABF13" w14:textId="77777777" w:rsidR="00DE16F2" w:rsidRDefault="00DE16F2" w:rsidP="00DE16F2">
      <w:pPr>
        <w:pStyle w:val="BodyText"/>
        <w:spacing w:before="11"/>
      </w:pPr>
    </w:p>
    <w:p w14:paraId="1E6525F9" w14:textId="189AF605" w:rsidR="00DE16F2" w:rsidRDefault="00DE16F2" w:rsidP="00DE16F2">
      <w:pPr>
        <w:pStyle w:val="BodyText"/>
        <w:rPr>
          <w:sz w:val="21"/>
        </w:rPr>
      </w:pPr>
    </w:p>
    <w:p w14:paraId="296E7ADB" w14:textId="75DD4E47" w:rsidR="00DE16F2" w:rsidRDefault="00DE16F2" w:rsidP="00DE16F2">
      <w:pPr>
        <w:pStyle w:val="ListParagraph"/>
        <w:numPr>
          <w:ilvl w:val="2"/>
          <w:numId w:val="1"/>
        </w:numPr>
        <w:tabs>
          <w:tab w:val="left" w:pos="1631"/>
          <w:tab w:val="left" w:pos="1632"/>
        </w:tabs>
        <w:ind w:right="1134"/>
        <w:rPr>
          <w:sz w:val="20"/>
        </w:rPr>
      </w:pPr>
      <w:r>
        <w:rPr>
          <w:sz w:val="20"/>
        </w:rPr>
        <w:t>Dynamic Response Co-ordination. Equipment and infrastructure that support the operation of multiple products/processes autonomously in an integrated and co-ordinated manner. This function will utilise machine learning and / or artificial intelligence in support of algorithmic warfare (pattern recognition, data mining, and decision assistance tools, deep learning). Identified functions include:</w:t>
      </w:r>
    </w:p>
    <w:p w14:paraId="0E6BDC48" w14:textId="77777777" w:rsidR="00DE16F2" w:rsidRDefault="00DE16F2" w:rsidP="00DE16F2">
      <w:pPr>
        <w:pStyle w:val="BodyText"/>
        <w:spacing w:before="10"/>
      </w:pPr>
    </w:p>
    <w:p w14:paraId="5AEE7CE3" w14:textId="77777777" w:rsidR="00DE16F2" w:rsidRDefault="00DE16F2" w:rsidP="00DE16F2">
      <w:pPr>
        <w:pStyle w:val="ListParagraph"/>
        <w:numPr>
          <w:ilvl w:val="3"/>
          <w:numId w:val="1"/>
        </w:numPr>
        <w:tabs>
          <w:tab w:val="left" w:pos="2339"/>
          <w:tab w:val="left" w:pos="2340"/>
        </w:tabs>
        <w:ind w:right="1748"/>
        <w:rPr>
          <w:sz w:val="20"/>
        </w:rPr>
      </w:pPr>
      <w:r>
        <w:rPr>
          <w:sz w:val="20"/>
        </w:rPr>
        <w:t>Planning Tools (and products) that can be used at the strategic (planning)</w:t>
      </w:r>
      <w:r>
        <w:rPr>
          <w:spacing w:val="-23"/>
          <w:sz w:val="20"/>
        </w:rPr>
        <w:t xml:space="preserve"> </w:t>
      </w:r>
      <w:r>
        <w:rPr>
          <w:sz w:val="20"/>
        </w:rPr>
        <w:t>and tactical</w:t>
      </w:r>
      <w:r>
        <w:rPr>
          <w:spacing w:val="-1"/>
          <w:sz w:val="20"/>
        </w:rPr>
        <w:t xml:space="preserve"> </w:t>
      </w:r>
      <w:r>
        <w:rPr>
          <w:sz w:val="20"/>
        </w:rPr>
        <w:t>(operation),</w:t>
      </w:r>
    </w:p>
    <w:p w14:paraId="0A39FC4A" w14:textId="77777777" w:rsidR="00DE16F2" w:rsidRDefault="00DE16F2" w:rsidP="00DE16F2">
      <w:pPr>
        <w:pStyle w:val="BodyText"/>
        <w:spacing w:before="8"/>
      </w:pPr>
    </w:p>
    <w:p w14:paraId="6D9064F8" w14:textId="77777777" w:rsidR="00DE16F2" w:rsidRDefault="00DE16F2" w:rsidP="00DE16F2">
      <w:pPr>
        <w:pStyle w:val="ListParagraph"/>
        <w:numPr>
          <w:ilvl w:val="3"/>
          <w:numId w:val="1"/>
        </w:numPr>
        <w:tabs>
          <w:tab w:val="left" w:pos="2339"/>
          <w:tab w:val="left" w:pos="2340"/>
        </w:tabs>
        <w:spacing w:before="1"/>
        <w:ind w:right="1564"/>
        <w:rPr>
          <w:sz w:val="20"/>
        </w:rPr>
      </w:pPr>
      <w:r>
        <w:rPr>
          <w:sz w:val="20"/>
        </w:rPr>
        <w:t>Electromagnetic Battle Management, tools, systems, algorithms that support</w:t>
      </w:r>
      <w:r>
        <w:rPr>
          <w:spacing w:val="-24"/>
          <w:sz w:val="20"/>
        </w:rPr>
        <w:t xml:space="preserve"> </w:t>
      </w:r>
      <w:r>
        <w:rPr>
          <w:spacing w:val="2"/>
          <w:sz w:val="20"/>
        </w:rPr>
        <w:t xml:space="preserve">co- </w:t>
      </w:r>
      <w:r>
        <w:rPr>
          <w:sz w:val="20"/>
        </w:rPr>
        <w:t>ordinated operations with defined and limited</w:t>
      </w:r>
      <w:r>
        <w:rPr>
          <w:spacing w:val="1"/>
          <w:sz w:val="20"/>
        </w:rPr>
        <w:t xml:space="preserve"> </w:t>
      </w:r>
      <w:r>
        <w:rPr>
          <w:sz w:val="20"/>
        </w:rPr>
        <w:t>resources.</w:t>
      </w:r>
    </w:p>
    <w:p w14:paraId="577E5FE0" w14:textId="77777777" w:rsidR="00DE16F2" w:rsidRDefault="00DE16F2" w:rsidP="00DE16F2">
      <w:pPr>
        <w:pStyle w:val="BodyText"/>
        <w:spacing w:before="10"/>
      </w:pPr>
    </w:p>
    <w:p w14:paraId="2630EFDD" w14:textId="77777777" w:rsidR="00DE16F2" w:rsidRDefault="00DE16F2" w:rsidP="00DE16F2">
      <w:pPr>
        <w:pStyle w:val="ListParagraph"/>
        <w:numPr>
          <w:ilvl w:val="3"/>
          <w:numId w:val="1"/>
        </w:numPr>
        <w:tabs>
          <w:tab w:val="left" w:pos="2339"/>
          <w:tab w:val="left" w:pos="2340"/>
        </w:tabs>
        <w:ind w:right="1387"/>
        <w:rPr>
          <w:sz w:val="20"/>
        </w:rPr>
      </w:pPr>
      <w:r>
        <w:rPr>
          <w:sz w:val="20"/>
        </w:rPr>
        <w:t>System / Effector Co-ordination, command, control and co-ordination systems that support the control and integration of multiple concurrent processes to deliver required mission</w:t>
      </w:r>
      <w:r>
        <w:rPr>
          <w:spacing w:val="-3"/>
          <w:sz w:val="20"/>
        </w:rPr>
        <w:t xml:space="preserve"> </w:t>
      </w:r>
      <w:r>
        <w:rPr>
          <w:sz w:val="20"/>
        </w:rPr>
        <w:t>outcome.</w:t>
      </w:r>
    </w:p>
    <w:p w14:paraId="3E6EC2CF" w14:textId="77777777" w:rsidR="00DE16F2" w:rsidRDefault="00DE16F2" w:rsidP="00DE16F2">
      <w:pPr>
        <w:rPr>
          <w:sz w:val="20"/>
        </w:rPr>
        <w:sectPr w:rsidR="00DE16F2">
          <w:pgSz w:w="11910" w:h="16850"/>
          <w:pgMar w:top="1040" w:right="0" w:bottom="560" w:left="920" w:header="570" w:footer="378" w:gutter="0"/>
          <w:cols w:space="720"/>
        </w:sectPr>
      </w:pPr>
    </w:p>
    <w:p w14:paraId="0320BF24" w14:textId="77777777" w:rsidR="00DE16F2" w:rsidRDefault="00DE16F2" w:rsidP="00DE16F2">
      <w:pPr>
        <w:pStyle w:val="BodyText"/>
        <w:rPr>
          <w:sz w:val="21"/>
        </w:rPr>
      </w:pPr>
    </w:p>
    <w:p w14:paraId="1A516CB8" w14:textId="77777777" w:rsidR="00DE16F2" w:rsidRDefault="00DE16F2" w:rsidP="00DE16F2">
      <w:pPr>
        <w:pStyle w:val="ListParagraph"/>
        <w:numPr>
          <w:ilvl w:val="2"/>
          <w:numId w:val="1"/>
        </w:numPr>
        <w:tabs>
          <w:tab w:val="left" w:pos="1631"/>
          <w:tab w:val="left" w:pos="1632"/>
        </w:tabs>
        <w:ind w:right="1314"/>
        <w:rPr>
          <w:sz w:val="20"/>
        </w:rPr>
      </w:pPr>
      <w:r>
        <w:rPr>
          <w:sz w:val="20"/>
        </w:rPr>
        <w:t xml:space="preserve">Training. Specialised training in the operation or maintenance of </w:t>
      </w:r>
      <w:r>
        <w:rPr>
          <w:spacing w:val="-3"/>
          <w:sz w:val="20"/>
        </w:rPr>
        <w:t xml:space="preserve">EW </w:t>
      </w:r>
      <w:r>
        <w:rPr>
          <w:sz w:val="20"/>
        </w:rPr>
        <w:t xml:space="preserve">products. The method of training is also critical in Defence’s understanding of applicability for a future force. Training in the operational art of </w:t>
      </w:r>
      <w:r>
        <w:rPr>
          <w:spacing w:val="-3"/>
          <w:sz w:val="20"/>
        </w:rPr>
        <w:t xml:space="preserve">EW </w:t>
      </w:r>
      <w:r>
        <w:rPr>
          <w:sz w:val="20"/>
        </w:rPr>
        <w:t>(techniques and theory) will be considered</w:t>
      </w:r>
      <w:r>
        <w:rPr>
          <w:spacing w:val="-16"/>
          <w:sz w:val="20"/>
        </w:rPr>
        <w:t xml:space="preserve"> </w:t>
      </w:r>
      <w:r>
        <w:rPr>
          <w:sz w:val="20"/>
        </w:rPr>
        <w:t>separately.</w:t>
      </w:r>
    </w:p>
    <w:p w14:paraId="40C4A1DE" w14:textId="77777777" w:rsidR="00DE16F2" w:rsidRDefault="00DE16F2" w:rsidP="00DE16F2">
      <w:pPr>
        <w:pStyle w:val="BodyText"/>
        <w:spacing w:before="9"/>
      </w:pPr>
    </w:p>
    <w:p w14:paraId="52829604" w14:textId="77777777" w:rsidR="00DE16F2" w:rsidRDefault="00DE16F2" w:rsidP="00DE16F2">
      <w:pPr>
        <w:pStyle w:val="ListParagraph"/>
        <w:numPr>
          <w:ilvl w:val="2"/>
          <w:numId w:val="1"/>
        </w:numPr>
        <w:tabs>
          <w:tab w:val="left" w:pos="1631"/>
          <w:tab w:val="left" w:pos="1632"/>
        </w:tabs>
        <w:ind w:right="1350"/>
        <w:rPr>
          <w:sz w:val="20"/>
        </w:rPr>
      </w:pPr>
      <w:r>
        <w:rPr>
          <w:sz w:val="20"/>
        </w:rPr>
        <w:t>Modelling and Simulation. The use of a synthetic environment to analyse or assess inputs, actions or effects; or to support mission planning and pre-mission training. May include machine learning or artificial intelligence. Primarily within the research, analysis, training or development domains, but the application of these activities in an operational environment will also be</w:t>
      </w:r>
      <w:r>
        <w:rPr>
          <w:spacing w:val="-5"/>
          <w:sz w:val="20"/>
        </w:rPr>
        <w:t xml:space="preserve"> </w:t>
      </w:r>
      <w:r>
        <w:rPr>
          <w:sz w:val="20"/>
        </w:rPr>
        <w:t>considered.</w:t>
      </w:r>
    </w:p>
    <w:p w14:paraId="76C20585" w14:textId="77777777" w:rsidR="00DE16F2" w:rsidRDefault="00DE16F2" w:rsidP="00DE16F2">
      <w:pPr>
        <w:pStyle w:val="BodyText"/>
        <w:spacing w:before="9"/>
      </w:pPr>
    </w:p>
    <w:p w14:paraId="0C5AB901" w14:textId="77777777" w:rsidR="00DE16F2" w:rsidRDefault="00DE16F2" w:rsidP="00DE16F2">
      <w:pPr>
        <w:pStyle w:val="ListParagraph"/>
        <w:numPr>
          <w:ilvl w:val="2"/>
          <w:numId w:val="1"/>
        </w:numPr>
        <w:tabs>
          <w:tab w:val="left" w:pos="1631"/>
          <w:tab w:val="left" w:pos="1632"/>
        </w:tabs>
        <w:spacing w:before="1"/>
        <w:ind w:right="1319"/>
        <w:rPr>
          <w:sz w:val="20"/>
        </w:rPr>
      </w:pPr>
      <w:r>
        <w:rPr>
          <w:sz w:val="20"/>
        </w:rPr>
        <w:t>Mission Data Operational Support (MDOS) and Electronic Warfare Operational Support (EWOS). The infrastructure or products that enable the management of information or information products necessary for the operation of EW products in the operational environment. A traditional example is the generation and maintenance of libraries of known RF</w:t>
      </w:r>
      <w:r>
        <w:rPr>
          <w:spacing w:val="-1"/>
          <w:sz w:val="20"/>
        </w:rPr>
        <w:t xml:space="preserve"> </w:t>
      </w:r>
      <w:r>
        <w:rPr>
          <w:sz w:val="20"/>
        </w:rPr>
        <w:t>emitters.</w:t>
      </w:r>
    </w:p>
    <w:p w14:paraId="0F780E3E" w14:textId="77777777" w:rsidR="00DE16F2" w:rsidRDefault="00DE16F2" w:rsidP="00DE16F2">
      <w:pPr>
        <w:pStyle w:val="BodyText"/>
        <w:spacing w:before="1"/>
        <w:rPr>
          <w:sz w:val="21"/>
        </w:rPr>
      </w:pPr>
    </w:p>
    <w:p w14:paraId="10A7ADB7" w14:textId="77777777" w:rsidR="00C16AA0" w:rsidRDefault="00C16AA0"/>
    <w:sectPr w:rsidR="00C16AA0" w:rsidSect="00D67174">
      <w:pgSz w:w="11906" w:h="16838"/>
      <w:pgMar w:top="1440"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75DF"/>
    <w:multiLevelType w:val="multilevel"/>
    <w:tmpl w:val="7D4C6290"/>
    <w:lvl w:ilvl="0">
      <w:start w:val="1"/>
      <w:numFmt w:val="decimal"/>
      <w:lvlText w:val="%1"/>
      <w:lvlJc w:val="left"/>
      <w:pPr>
        <w:ind w:left="921" w:hanging="709"/>
        <w:jc w:val="left"/>
      </w:pPr>
      <w:rPr>
        <w:rFonts w:ascii="Arial" w:eastAsia="Arial" w:hAnsi="Arial" w:cs="Arial" w:hint="default"/>
        <w:b/>
        <w:bCs/>
        <w:w w:val="99"/>
        <w:sz w:val="20"/>
        <w:szCs w:val="20"/>
        <w:lang w:val="en-AU" w:eastAsia="en-AU" w:bidi="en-AU"/>
      </w:rPr>
    </w:lvl>
    <w:lvl w:ilvl="1">
      <w:start w:val="1"/>
      <w:numFmt w:val="decimal"/>
      <w:lvlText w:val="%1.%2"/>
      <w:lvlJc w:val="left"/>
      <w:pPr>
        <w:ind w:left="921" w:hanging="709"/>
        <w:jc w:val="left"/>
      </w:pPr>
      <w:rPr>
        <w:rFonts w:ascii="Arial" w:eastAsia="Arial" w:hAnsi="Arial" w:cs="Arial" w:hint="default"/>
        <w:spacing w:val="-1"/>
        <w:w w:val="99"/>
        <w:sz w:val="20"/>
        <w:szCs w:val="20"/>
        <w:lang w:val="en-AU" w:eastAsia="en-AU" w:bidi="en-AU"/>
      </w:rPr>
    </w:lvl>
    <w:lvl w:ilvl="2">
      <w:start w:val="1"/>
      <w:numFmt w:val="decimal"/>
      <w:lvlText w:val="%1.%2.%3"/>
      <w:lvlJc w:val="left"/>
      <w:pPr>
        <w:ind w:left="1631" w:hanging="711"/>
        <w:jc w:val="left"/>
      </w:pPr>
      <w:rPr>
        <w:rFonts w:ascii="Arial" w:eastAsia="Arial" w:hAnsi="Arial" w:cs="Arial" w:hint="default"/>
        <w:spacing w:val="-1"/>
        <w:w w:val="99"/>
        <w:sz w:val="20"/>
        <w:szCs w:val="20"/>
        <w:lang w:val="en-AU" w:eastAsia="en-AU" w:bidi="en-AU"/>
      </w:rPr>
    </w:lvl>
    <w:lvl w:ilvl="3">
      <w:start w:val="1"/>
      <w:numFmt w:val="lowerRoman"/>
      <w:lvlText w:val="(%4)"/>
      <w:lvlJc w:val="left"/>
      <w:pPr>
        <w:ind w:left="2339" w:hanging="708"/>
        <w:jc w:val="left"/>
      </w:pPr>
      <w:rPr>
        <w:rFonts w:ascii="Arial" w:eastAsia="Arial" w:hAnsi="Arial" w:cs="Arial" w:hint="default"/>
        <w:spacing w:val="-1"/>
        <w:w w:val="99"/>
        <w:sz w:val="20"/>
        <w:szCs w:val="20"/>
        <w:lang w:val="en-AU" w:eastAsia="en-AU" w:bidi="en-AU"/>
      </w:rPr>
    </w:lvl>
    <w:lvl w:ilvl="4">
      <w:numFmt w:val="bullet"/>
      <w:lvlText w:val="•"/>
      <w:lvlJc w:val="left"/>
      <w:pPr>
        <w:ind w:left="2340" w:hanging="708"/>
      </w:pPr>
      <w:rPr>
        <w:rFonts w:hint="default"/>
        <w:lang w:val="en-AU" w:eastAsia="en-AU" w:bidi="en-AU"/>
      </w:rPr>
    </w:lvl>
    <w:lvl w:ilvl="5">
      <w:numFmt w:val="bullet"/>
      <w:lvlText w:val="•"/>
      <w:lvlJc w:val="left"/>
      <w:pPr>
        <w:ind w:left="3781" w:hanging="708"/>
      </w:pPr>
      <w:rPr>
        <w:rFonts w:hint="default"/>
        <w:lang w:val="en-AU" w:eastAsia="en-AU" w:bidi="en-AU"/>
      </w:rPr>
    </w:lvl>
    <w:lvl w:ilvl="6">
      <w:numFmt w:val="bullet"/>
      <w:lvlText w:val="•"/>
      <w:lvlJc w:val="left"/>
      <w:pPr>
        <w:ind w:left="5222" w:hanging="708"/>
      </w:pPr>
      <w:rPr>
        <w:rFonts w:hint="default"/>
        <w:lang w:val="en-AU" w:eastAsia="en-AU" w:bidi="en-AU"/>
      </w:rPr>
    </w:lvl>
    <w:lvl w:ilvl="7">
      <w:numFmt w:val="bullet"/>
      <w:lvlText w:val="•"/>
      <w:lvlJc w:val="left"/>
      <w:pPr>
        <w:ind w:left="6663" w:hanging="708"/>
      </w:pPr>
      <w:rPr>
        <w:rFonts w:hint="default"/>
        <w:lang w:val="en-AU" w:eastAsia="en-AU" w:bidi="en-AU"/>
      </w:rPr>
    </w:lvl>
    <w:lvl w:ilvl="8">
      <w:numFmt w:val="bullet"/>
      <w:lvlText w:val="•"/>
      <w:lvlJc w:val="left"/>
      <w:pPr>
        <w:ind w:left="8104" w:hanging="708"/>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74"/>
    <w:rsid w:val="000531CC"/>
    <w:rsid w:val="00175B45"/>
    <w:rsid w:val="003F4701"/>
    <w:rsid w:val="00854E25"/>
    <w:rsid w:val="009D617B"/>
    <w:rsid w:val="009F0F6D"/>
    <w:rsid w:val="00B50A22"/>
    <w:rsid w:val="00B812F3"/>
    <w:rsid w:val="00C16AA0"/>
    <w:rsid w:val="00D67174"/>
    <w:rsid w:val="00DB2B88"/>
    <w:rsid w:val="00DE1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A1B5"/>
  <w15:chartTrackingRefBased/>
  <w15:docId w15:val="{58342153-9CF1-4348-ACC6-B68F1CA1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6F2"/>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DE16F2"/>
    <w:rPr>
      <w:rFonts w:ascii="Arial" w:eastAsia="Arial" w:hAnsi="Arial" w:cs="Arial"/>
      <w:sz w:val="20"/>
      <w:szCs w:val="20"/>
      <w:lang w:eastAsia="en-AU" w:bidi="en-AU"/>
    </w:rPr>
  </w:style>
  <w:style w:type="paragraph" w:styleId="ListParagraph">
    <w:name w:val="List Paragraph"/>
    <w:basedOn w:val="Normal"/>
    <w:uiPriority w:val="1"/>
    <w:qFormat/>
    <w:rsid w:val="00DE16F2"/>
    <w:pPr>
      <w:widowControl w:val="0"/>
      <w:autoSpaceDE w:val="0"/>
      <w:autoSpaceDN w:val="0"/>
      <w:spacing w:after="0" w:line="240" w:lineRule="auto"/>
      <w:ind w:left="1631" w:hanging="711"/>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6EEC030343947ACC7A4833CFF5CC8" ma:contentTypeVersion="12" ma:contentTypeDescription="Create a new document." ma:contentTypeScope="" ma:versionID="ff83334d47b698e2d7bb13be0d5a0c35">
  <xsd:schema xmlns:xsd="http://www.w3.org/2001/XMLSchema" xmlns:xs="http://www.w3.org/2001/XMLSchema" xmlns:p="http://schemas.microsoft.com/office/2006/metadata/properties" xmlns:ns2="cf4e1358-cc2d-4705-bdab-3899910f35aa" xmlns:ns3="5f3c1816-207c-4c2e-81fc-e0141e93ad50" targetNamespace="http://schemas.microsoft.com/office/2006/metadata/properties" ma:root="true" ma:fieldsID="a68d8d03e05ed24a9cfb632420f63a75" ns2:_="" ns3:_="">
    <xsd:import namespace="cf4e1358-cc2d-4705-bdab-3899910f35aa"/>
    <xsd:import namespace="5f3c1816-207c-4c2e-81fc-e0141e93ad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e1358-cc2d-4705-bdab-3899910f35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c1816-207c-4c2e-81fc-e0141e93ad5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AEEF8-DD7A-46E2-ABAC-09A91B012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e1358-cc2d-4705-bdab-3899910f35aa"/>
    <ds:schemaRef ds:uri="5f3c1816-207c-4c2e-81fc-e0141e93a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2BFDA-338E-4F7A-99DD-C1E25437991A}">
  <ds:schemaRefs>
    <ds:schemaRef ds:uri="http://schemas.microsoft.com/sharepoint/v3/contenttype/forms"/>
  </ds:schemaRefs>
</ds:datastoreItem>
</file>

<file path=customXml/itemProps3.xml><?xml version="1.0" encoding="utf-8"?>
<ds:datastoreItem xmlns:ds="http://schemas.openxmlformats.org/officeDocument/2006/customXml" ds:itemID="{858C80C4-5876-4979-9765-96DA1752E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Butler</dc:creator>
  <cp:keywords/>
  <dc:description/>
  <cp:lastModifiedBy>Craig Butler</cp:lastModifiedBy>
  <cp:revision>10</cp:revision>
  <dcterms:created xsi:type="dcterms:W3CDTF">2020-04-30T04:49:00Z</dcterms:created>
  <dcterms:modified xsi:type="dcterms:W3CDTF">2020-04-30T05:45:00Z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0x010100A406EEC030343947ACC7A4833CFF5CC8</vt:lpwstr>
  </property>
</Properties>
</file>